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AB" w:rsidRDefault="00E74CAB" w:rsidP="00E74C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</w:pPr>
    </w:p>
    <w:p w:rsidR="00E74CAB" w:rsidRPr="00E74CAB" w:rsidRDefault="00E74CAB" w:rsidP="00E74CAB">
      <w:pPr>
        <w:shd w:val="clear" w:color="auto" w:fill="FFFFFF"/>
        <w:spacing w:after="0" w:line="240" w:lineRule="auto"/>
        <w:jc w:val="center"/>
        <w:outlineLvl w:val="1"/>
        <w:rPr>
          <w:rFonts w:ascii="Arial Rounded MT Bold" w:eastAsia="Times New Roman" w:hAnsi="Arial Rounded MT Bold" w:cs="Arial"/>
          <w:b/>
          <w:bCs/>
          <w:color w:val="FF0000"/>
          <w:sz w:val="80"/>
          <w:szCs w:val="80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74CAB">
        <w:rPr>
          <w:rFonts w:ascii="Arial" w:eastAsia="Times New Roman" w:hAnsi="Arial" w:cs="Arial"/>
          <w:b/>
          <w:bCs/>
          <w:color w:val="FF0000"/>
          <w:sz w:val="80"/>
          <w:szCs w:val="80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УГОЛОВНАЯ</w:t>
      </w:r>
      <w:r w:rsidRPr="00E74CAB">
        <w:rPr>
          <w:rFonts w:ascii="Arial Rounded MT Bold" w:eastAsia="Times New Roman" w:hAnsi="Arial Rounded MT Bold" w:cs="Arial"/>
          <w:b/>
          <w:bCs/>
          <w:color w:val="FF0000"/>
          <w:sz w:val="80"/>
          <w:szCs w:val="80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E74CAB">
        <w:rPr>
          <w:rFonts w:ascii="Arial" w:eastAsia="Times New Roman" w:hAnsi="Arial" w:cs="Arial"/>
          <w:b/>
          <w:bCs/>
          <w:color w:val="FF0000"/>
          <w:sz w:val="80"/>
          <w:szCs w:val="80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ОТВЕТСТВЕННОСТЬ</w:t>
      </w:r>
      <w:r w:rsidRPr="00E74CAB">
        <w:rPr>
          <w:rFonts w:ascii="Arial Rounded MT Bold" w:eastAsia="Times New Roman" w:hAnsi="Arial Rounded MT Bold" w:cs="Arial"/>
          <w:b/>
          <w:bCs/>
          <w:color w:val="FF0000"/>
          <w:sz w:val="80"/>
          <w:szCs w:val="80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E74CAB">
        <w:rPr>
          <w:rFonts w:ascii="Arial" w:eastAsia="Times New Roman" w:hAnsi="Arial" w:cs="Arial"/>
          <w:b/>
          <w:bCs/>
          <w:color w:val="FF0000"/>
          <w:sz w:val="80"/>
          <w:szCs w:val="80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НЕСОВЕРШЕННОЛЕТНИХ</w:t>
      </w:r>
    </w:p>
    <w:p w:rsidR="00E74CAB" w:rsidRDefault="00E74CAB" w:rsidP="00E74C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</w:pPr>
      <w:bookmarkStart w:id="0" w:name="_GoBack"/>
      <w:bookmarkEnd w:id="0"/>
    </w:p>
    <w:p w:rsidR="00E74CAB" w:rsidRPr="00E74CAB" w:rsidRDefault="00E74CAB" w:rsidP="00E74C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 xml:space="preserve">Это самый строгий вид ответственности, она наступает, за совершение преступлений, то есть  наиболее опасных  правонарушений. </w:t>
      </w: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u w:val="single"/>
          <w:lang w:eastAsia="ru-RU"/>
        </w:rPr>
        <w:t xml:space="preserve">Уголовная ответственность по общему правилу, наступает </w:t>
      </w:r>
      <w:r w:rsidRPr="00E74CA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с 16 лет. Уголовная ответственность наступает с </w:t>
      </w:r>
      <w:r w:rsidRPr="00E74CAB"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  <w:lang w:eastAsia="ru-RU"/>
        </w:rPr>
        <w:t>14 лет</w:t>
      </w:r>
      <w:r w:rsidRPr="00E74CA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, </w:t>
      </w:r>
      <w:proofErr w:type="gramStart"/>
      <w:r w:rsidRPr="00E74CA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за</w:t>
      </w:r>
      <w:proofErr w:type="gramEnd"/>
      <w:r w:rsidRPr="00E74CA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: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убийство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105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умышленное причинение тяжкого вреда здоровью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(ст.111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умышленное причинение средней тяжести вреда здоровью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112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похищение человека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(ст.126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изнасилование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(ст.131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насильственные  действия сексуального характера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(ст.132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кража 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158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грабеж 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161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разбой 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162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вымогательство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163 УК РФ)</w:t>
      </w:r>
    </w:p>
    <w:p w:rsidR="00E74CAB" w:rsidRPr="00E74CAB" w:rsidRDefault="00E74CAB" w:rsidP="00E74C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lang w:eastAsia="ru-RU"/>
        </w:rPr>
        <w:t xml:space="preserve">неправомерное завладение автомобилем или иным транспортным средством без цели хищения </w:t>
      </w:r>
      <w:r w:rsidRPr="00E74CAB">
        <w:rPr>
          <w:rFonts w:ascii="Arial" w:eastAsia="Times New Roman" w:hAnsi="Arial" w:cs="Arial"/>
          <w:b/>
          <w:bCs/>
          <w:color w:val="C2260C"/>
          <w:sz w:val="28"/>
          <w:szCs w:val="28"/>
          <w:lang w:eastAsia="ru-RU"/>
        </w:rPr>
        <w:t>(ст. 166 УК РФ)</w:t>
      </w:r>
    </w:p>
    <w:p w:rsidR="00E74CAB" w:rsidRPr="00E74CAB" w:rsidRDefault="00E74CAB" w:rsidP="00E74C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</w:pPr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 xml:space="preserve"> Нужно иметь в виду, что совершение преступления в составе группы (то есть, </w:t>
      </w:r>
      <w:proofErr w:type="gramStart"/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>несколькими</w:t>
      </w:r>
      <w:proofErr w:type="gramEnd"/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 xml:space="preserve"> людьми) является отягчающим обстоятельством и влечет за собой </w:t>
      </w:r>
      <w:r w:rsidRPr="00E74CAB">
        <w:rPr>
          <w:rFonts w:ascii="Arial" w:eastAsia="Times New Roman" w:hAnsi="Arial" w:cs="Arial"/>
          <w:b/>
          <w:bCs/>
          <w:color w:val="063C64"/>
          <w:sz w:val="28"/>
          <w:szCs w:val="28"/>
          <w:u w:val="single"/>
          <w:lang w:eastAsia="ru-RU"/>
        </w:rPr>
        <w:t>более строгое наказание</w:t>
      </w:r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>.</w:t>
      </w:r>
    </w:p>
    <w:p w:rsidR="00E74CAB" w:rsidRPr="00E74CAB" w:rsidRDefault="00E74CAB" w:rsidP="00E74C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color w:val="063C64"/>
          <w:sz w:val="28"/>
          <w:szCs w:val="28"/>
          <w:u w:val="single"/>
          <w:lang w:eastAsia="ru-RU"/>
        </w:rPr>
      </w:pPr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 xml:space="preserve"> В отношении подростков совершивших общественно опасное деяние, до достижения возраста, с которого наступает уголовная ответственность за этот вид преступления, в отдельных случаях (предупреждения ими повторного деяния и др.) может быть принято решение о помещении в </w:t>
      </w:r>
      <w:r w:rsidRPr="00E74CAB">
        <w:rPr>
          <w:rFonts w:ascii="Arial" w:eastAsia="Times New Roman" w:hAnsi="Arial" w:cs="Arial"/>
          <w:b/>
          <w:bCs/>
          <w:i/>
          <w:color w:val="063C64"/>
          <w:sz w:val="28"/>
          <w:szCs w:val="28"/>
          <w:u w:val="single"/>
          <w:lang w:eastAsia="ru-RU"/>
        </w:rPr>
        <w:t xml:space="preserve">Центр временного содержания для несовершеннолетних правонарушителей органов внутренних дел. </w:t>
      </w:r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 xml:space="preserve">  В отдельных случаях несовершеннолетний может быть помещен в </w:t>
      </w:r>
      <w:r w:rsidRPr="00E74CAB">
        <w:rPr>
          <w:rFonts w:ascii="Arial" w:eastAsia="Times New Roman" w:hAnsi="Arial" w:cs="Arial"/>
          <w:b/>
          <w:bCs/>
          <w:i/>
          <w:color w:val="063C64"/>
          <w:sz w:val="28"/>
          <w:szCs w:val="28"/>
          <w:u w:val="single"/>
          <w:lang w:eastAsia="ru-RU"/>
        </w:rPr>
        <w:t>специальное учебно-воспитательное учреждение закрытого типа</w:t>
      </w:r>
      <w:r w:rsidRPr="00E74CAB">
        <w:rPr>
          <w:rFonts w:ascii="Arial" w:eastAsia="Times New Roman" w:hAnsi="Arial" w:cs="Arial"/>
          <w:bCs/>
          <w:color w:val="063C64"/>
          <w:sz w:val="28"/>
          <w:szCs w:val="28"/>
          <w:lang w:eastAsia="ru-RU"/>
        </w:rPr>
        <w:t xml:space="preserve">. Возраст воспитанников школ и училищ закрытого типа </w:t>
      </w:r>
      <w:r w:rsidRPr="00E74CAB">
        <w:rPr>
          <w:rFonts w:ascii="Arial" w:eastAsia="Times New Roman" w:hAnsi="Arial" w:cs="Arial"/>
          <w:b/>
          <w:bCs/>
          <w:i/>
          <w:color w:val="063C64"/>
          <w:sz w:val="28"/>
          <w:szCs w:val="28"/>
          <w:u w:val="single"/>
          <w:lang w:eastAsia="ru-RU"/>
        </w:rPr>
        <w:t>от 11 до 18 лет.</w:t>
      </w:r>
    </w:p>
    <w:p w:rsidR="00E74CAB" w:rsidRPr="00E74CAB" w:rsidRDefault="00E74CAB" w:rsidP="00E74C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D7AA0" w:rsidRDefault="007D7AA0"/>
    <w:sectPr w:rsidR="007D7AA0" w:rsidSect="00E74CAB">
      <w:pgSz w:w="16838" w:h="11906" w:orient="landscape"/>
      <w:pgMar w:top="426" w:right="1134" w:bottom="568" w:left="1134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9EF"/>
    <w:multiLevelType w:val="hybridMultilevel"/>
    <w:tmpl w:val="EB92DA60"/>
    <w:lvl w:ilvl="0" w:tplc="3F48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37"/>
    <w:rsid w:val="007D7AA0"/>
    <w:rsid w:val="00AD5237"/>
    <w:rsid w:val="00E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2022-11-26T14:17:00Z</dcterms:created>
  <dcterms:modified xsi:type="dcterms:W3CDTF">2022-11-26T14:18:00Z</dcterms:modified>
</cp:coreProperties>
</file>